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A1A3" w14:textId="77777777" w:rsidR="00E268BC" w:rsidRPr="000A5348" w:rsidRDefault="00C55E36" w:rsidP="000A5348">
      <w:pPr>
        <w:pStyle w:val="Subtitle"/>
        <w:rPr>
          <w:rFonts w:ascii="Times New Roman" w:hAnsi="Times New Roman" w:cs="Times New Roman"/>
          <w:b/>
          <w:color w:val="538135" w:themeColor="accent6" w:themeShade="BF"/>
          <w:sz w:val="24"/>
          <w:szCs w:val="24"/>
        </w:rPr>
      </w:pPr>
      <w:r w:rsidRPr="000A5348">
        <w:rPr>
          <w:rFonts w:ascii="Times New Roman" w:hAnsi="Times New Roman" w:cs="Times New Roman"/>
          <w:b/>
          <w:color w:val="538135" w:themeColor="accent6" w:themeShade="BF"/>
          <w:sz w:val="24"/>
          <w:szCs w:val="24"/>
        </w:rPr>
        <w:t xml:space="preserve">Water Reclamation Department (WRD) Fats, Oils, and </w:t>
      </w:r>
      <w:r w:rsidR="00A325BC" w:rsidRPr="000A5348">
        <w:rPr>
          <w:rFonts w:ascii="Times New Roman" w:hAnsi="Times New Roman" w:cs="Times New Roman"/>
          <w:b/>
          <w:color w:val="538135" w:themeColor="accent6" w:themeShade="BF"/>
          <w:sz w:val="24"/>
          <w:szCs w:val="24"/>
        </w:rPr>
        <w:t>Grease (</w:t>
      </w:r>
      <w:r w:rsidRPr="000A5348">
        <w:rPr>
          <w:rFonts w:ascii="Times New Roman" w:hAnsi="Times New Roman" w:cs="Times New Roman"/>
          <w:b/>
          <w:color w:val="538135" w:themeColor="accent6" w:themeShade="BF"/>
          <w:sz w:val="24"/>
          <w:szCs w:val="24"/>
        </w:rPr>
        <w:t>FOG) Program</w:t>
      </w:r>
    </w:p>
    <w:p w14:paraId="09EECAF3" w14:textId="77777777" w:rsidR="00E268BC" w:rsidRDefault="00E268BC" w:rsidP="00E268BC">
      <w:pPr>
        <w:pStyle w:val="Default"/>
        <w:spacing w:before="100" w:after="100"/>
        <w:rPr>
          <w:rFonts w:ascii="Times New Roman" w:hAnsi="Times New Roman" w:cs="Times New Roman"/>
          <w:b/>
          <w:bCs/>
        </w:rPr>
      </w:pPr>
      <w:r w:rsidRPr="00C55E36">
        <w:rPr>
          <w:rFonts w:ascii="Times New Roman" w:hAnsi="Times New Roman" w:cs="Times New Roman"/>
          <w:b/>
          <w:bCs/>
        </w:rPr>
        <w:t xml:space="preserve">Requirements for Commercial Food Service Establishments (FSE) such as: </w:t>
      </w:r>
    </w:p>
    <w:p w14:paraId="28EC92DD" w14:textId="77777777" w:rsidR="00E268BC" w:rsidRPr="00C55E36" w:rsidRDefault="000B7F7E" w:rsidP="00E268BC">
      <w:pPr>
        <w:pStyle w:val="Default"/>
        <w:spacing w:before="100" w:after="100"/>
        <w:rPr>
          <w:rFonts w:ascii="Times New Roman" w:hAnsi="Times New Roman" w:cs="Times New Roman"/>
        </w:rPr>
      </w:pPr>
      <w:r w:rsidRPr="00C55E36">
        <w:rPr>
          <w:rFonts w:ascii="Times New Roman" w:hAnsi="Times New Roman" w:cs="Times New Roman"/>
          <w:noProof/>
        </w:rPr>
        <w:drawing>
          <wp:anchor distT="0" distB="0" distL="114300" distR="114300" simplePos="0" relativeHeight="251659264" behindDoc="0" locked="0" layoutInCell="1" allowOverlap="1" wp14:anchorId="7ED6CEF9" wp14:editId="11CF205E">
            <wp:simplePos x="0" y="0"/>
            <wp:positionH relativeFrom="margin">
              <wp:align>left</wp:align>
            </wp:positionH>
            <wp:positionV relativeFrom="paragraph">
              <wp:posOffset>541020</wp:posOffset>
            </wp:positionV>
            <wp:extent cx="1668780" cy="1161415"/>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668780" cy="1161415"/>
                    </a:xfrm>
                    <a:prstGeom prst="rect">
                      <a:avLst/>
                    </a:prstGeom>
                    <a:noFill/>
                    <a:ln>
                      <a:noFill/>
                    </a:ln>
                  </pic:spPr>
                </pic:pic>
              </a:graphicData>
            </a:graphic>
            <wp14:sizeRelV relativeFrom="margin">
              <wp14:pctHeight>0</wp14:pctHeight>
            </wp14:sizeRelV>
          </wp:anchor>
        </w:drawing>
      </w:r>
      <w:r w:rsidR="00E268BC" w:rsidRPr="00C55E36">
        <w:rPr>
          <w:rFonts w:ascii="Times New Roman" w:hAnsi="Times New Roman" w:cs="Times New Roman"/>
          <w:b/>
          <w:bCs/>
        </w:rPr>
        <w:t>Restaurants, Cafeterias, Buffets, Dining Halls, C</w:t>
      </w:r>
      <w:r w:rsidR="00C55E36">
        <w:rPr>
          <w:rFonts w:ascii="Times New Roman" w:hAnsi="Times New Roman" w:cs="Times New Roman"/>
          <w:b/>
          <w:bCs/>
        </w:rPr>
        <w:t xml:space="preserve">oncession </w:t>
      </w:r>
      <w:r w:rsidR="00E268BC" w:rsidRPr="00C55E36">
        <w:rPr>
          <w:rFonts w:ascii="Times New Roman" w:hAnsi="Times New Roman" w:cs="Times New Roman"/>
          <w:b/>
          <w:bCs/>
        </w:rPr>
        <w:t>Stands, Caterers, Bakeries, Delicatessens, Lunch Counters</w:t>
      </w:r>
      <w:r w:rsidR="00C55E36">
        <w:rPr>
          <w:rFonts w:ascii="Times New Roman" w:hAnsi="Times New Roman" w:cs="Times New Roman"/>
          <w:b/>
          <w:bCs/>
        </w:rPr>
        <w:t xml:space="preserve">, Coffee Shops, </w:t>
      </w:r>
      <w:r w:rsidR="00E268BC" w:rsidRPr="00C55E36">
        <w:rPr>
          <w:rFonts w:ascii="Times New Roman" w:hAnsi="Times New Roman" w:cs="Times New Roman"/>
          <w:b/>
          <w:bCs/>
        </w:rPr>
        <w:t xml:space="preserve">and </w:t>
      </w:r>
      <w:r w:rsidR="00C55E36">
        <w:rPr>
          <w:rFonts w:ascii="Times New Roman" w:hAnsi="Times New Roman" w:cs="Times New Roman"/>
          <w:b/>
          <w:bCs/>
        </w:rPr>
        <w:t xml:space="preserve">any Food </w:t>
      </w:r>
      <w:r w:rsidR="000A5348">
        <w:rPr>
          <w:rFonts w:ascii="Times New Roman" w:hAnsi="Times New Roman" w:cs="Times New Roman"/>
          <w:b/>
          <w:bCs/>
        </w:rPr>
        <w:t xml:space="preserve">or Facility </w:t>
      </w:r>
      <w:r w:rsidR="00C55E36">
        <w:rPr>
          <w:rFonts w:ascii="Times New Roman" w:hAnsi="Times New Roman" w:cs="Times New Roman"/>
          <w:b/>
          <w:bCs/>
        </w:rPr>
        <w:t>Establishments</w:t>
      </w:r>
      <w:r w:rsidR="00E268BC" w:rsidRPr="00C55E36">
        <w:rPr>
          <w:rFonts w:ascii="Times New Roman" w:hAnsi="Times New Roman" w:cs="Times New Roman"/>
          <w:b/>
          <w:bCs/>
        </w:rPr>
        <w:t xml:space="preserve"> that prepare and</w:t>
      </w:r>
      <w:r w:rsidR="00C55E36">
        <w:rPr>
          <w:rFonts w:ascii="Times New Roman" w:hAnsi="Times New Roman" w:cs="Times New Roman"/>
          <w:b/>
          <w:bCs/>
        </w:rPr>
        <w:t>/or</w:t>
      </w:r>
      <w:r w:rsidR="00E268BC" w:rsidRPr="00C55E36">
        <w:rPr>
          <w:rFonts w:ascii="Times New Roman" w:hAnsi="Times New Roman" w:cs="Times New Roman"/>
          <w:b/>
          <w:bCs/>
        </w:rPr>
        <w:t xml:space="preserve"> serve food items such as Ice Cream, Bagels, Cookies, Pretzels, </w:t>
      </w:r>
      <w:r w:rsidR="00C55E36">
        <w:rPr>
          <w:rFonts w:ascii="Times New Roman" w:hAnsi="Times New Roman" w:cs="Times New Roman"/>
          <w:b/>
          <w:bCs/>
        </w:rPr>
        <w:t>Donuts,</w:t>
      </w:r>
      <w:r>
        <w:rPr>
          <w:rFonts w:ascii="Times New Roman" w:hAnsi="Times New Roman" w:cs="Times New Roman"/>
          <w:b/>
          <w:bCs/>
        </w:rPr>
        <w:t xml:space="preserve"> </w:t>
      </w:r>
      <w:r w:rsidR="00E268BC" w:rsidRPr="00C55E36">
        <w:rPr>
          <w:rFonts w:ascii="Times New Roman" w:hAnsi="Times New Roman" w:cs="Times New Roman"/>
          <w:b/>
          <w:bCs/>
        </w:rPr>
        <w:t xml:space="preserve">Hot Dogs, et cetera. </w:t>
      </w:r>
    </w:p>
    <w:p w14:paraId="16CADFCF" w14:textId="77777777" w:rsidR="00E268BC" w:rsidRPr="000B7F7E" w:rsidRDefault="00E268BC" w:rsidP="00E268BC">
      <w:pPr>
        <w:pStyle w:val="Default"/>
        <w:spacing w:after="120"/>
        <w:rPr>
          <w:rFonts w:ascii="Times New Roman" w:hAnsi="Times New Roman" w:cs="Times New Roman"/>
          <w:color w:val="538135" w:themeColor="accent6" w:themeShade="BF"/>
        </w:rPr>
      </w:pPr>
      <w:r w:rsidRPr="000B7F7E">
        <w:rPr>
          <w:rFonts w:ascii="Times New Roman" w:hAnsi="Times New Roman" w:cs="Times New Roman"/>
          <w:b/>
          <w:bCs/>
          <w:color w:val="538135" w:themeColor="accent6" w:themeShade="BF"/>
        </w:rPr>
        <w:t xml:space="preserve">What is “FOG”? </w:t>
      </w:r>
    </w:p>
    <w:p w14:paraId="7FF8D286" w14:textId="77777777" w:rsidR="00E268BC" w:rsidRPr="00C55E36" w:rsidRDefault="00E268BC" w:rsidP="00E268BC">
      <w:pPr>
        <w:pStyle w:val="Default"/>
        <w:rPr>
          <w:rFonts w:ascii="Times New Roman" w:hAnsi="Times New Roman" w:cs="Times New Roman"/>
        </w:rPr>
      </w:pPr>
      <w:r w:rsidRPr="000A5348">
        <w:rPr>
          <w:rFonts w:ascii="Times New Roman" w:hAnsi="Times New Roman" w:cs="Times New Roman"/>
          <w:b/>
          <w:color w:val="538135" w:themeColor="accent6" w:themeShade="BF"/>
          <w:highlight w:val="yellow"/>
        </w:rPr>
        <w:t xml:space="preserve">FOG is </w:t>
      </w:r>
      <w:r w:rsidRPr="000A5348">
        <w:rPr>
          <w:rFonts w:ascii="Times New Roman" w:hAnsi="Times New Roman" w:cs="Times New Roman"/>
          <w:b/>
          <w:bCs/>
          <w:color w:val="538135" w:themeColor="accent6" w:themeShade="BF"/>
          <w:highlight w:val="yellow"/>
        </w:rPr>
        <w:t>f</w:t>
      </w:r>
      <w:r w:rsidRPr="000A5348">
        <w:rPr>
          <w:rFonts w:ascii="Times New Roman" w:hAnsi="Times New Roman" w:cs="Times New Roman"/>
          <w:b/>
          <w:color w:val="538135" w:themeColor="accent6" w:themeShade="BF"/>
          <w:highlight w:val="yellow"/>
        </w:rPr>
        <w:t xml:space="preserve">ats </w:t>
      </w:r>
      <w:r w:rsidRPr="000A5348">
        <w:rPr>
          <w:rFonts w:ascii="Times New Roman" w:hAnsi="Times New Roman" w:cs="Times New Roman"/>
          <w:b/>
          <w:bCs/>
          <w:color w:val="538135" w:themeColor="accent6" w:themeShade="BF"/>
          <w:highlight w:val="yellow"/>
        </w:rPr>
        <w:t>o</w:t>
      </w:r>
      <w:r w:rsidRPr="000A5348">
        <w:rPr>
          <w:rFonts w:ascii="Times New Roman" w:hAnsi="Times New Roman" w:cs="Times New Roman"/>
          <w:b/>
          <w:color w:val="538135" w:themeColor="accent6" w:themeShade="BF"/>
          <w:highlight w:val="yellow"/>
        </w:rPr>
        <w:t xml:space="preserve">ils and </w:t>
      </w:r>
      <w:r w:rsidRPr="000A5348">
        <w:rPr>
          <w:rFonts w:ascii="Times New Roman" w:hAnsi="Times New Roman" w:cs="Times New Roman"/>
          <w:b/>
          <w:bCs/>
          <w:color w:val="538135" w:themeColor="accent6" w:themeShade="BF"/>
          <w:highlight w:val="yellow"/>
        </w:rPr>
        <w:t>g</w:t>
      </w:r>
      <w:r w:rsidRPr="000A5348">
        <w:rPr>
          <w:rFonts w:ascii="Times New Roman" w:hAnsi="Times New Roman" w:cs="Times New Roman"/>
          <w:b/>
          <w:color w:val="538135" w:themeColor="accent6" w:themeShade="BF"/>
          <w:highlight w:val="yellow"/>
        </w:rPr>
        <w:t>reases from food</w:t>
      </w:r>
      <w:r w:rsidRPr="00C55E36">
        <w:rPr>
          <w:rFonts w:ascii="Times New Roman" w:hAnsi="Times New Roman" w:cs="Times New Roman"/>
        </w:rPr>
        <w:t xml:space="preserve">. </w:t>
      </w:r>
    </w:p>
    <w:p w14:paraId="07B16614" w14:textId="77777777" w:rsidR="00E268BC" w:rsidRDefault="00E268BC" w:rsidP="00E268BC">
      <w:pPr>
        <w:pStyle w:val="Default"/>
      </w:pPr>
      <w:r w:rsidRPr="00C55E36">
        <w:rPr>
          <w:rFonts w:ascii="Times New Roman" w:hAnsi="Times New Roman" w:cs="Times New Roman"/>
        </w:rPr>
        <w:t>Bacon grease, butter, margarine, lard, gravy, shortening, dairy products, fat scraps from meat,</w:t>
      </w:r>
      <w:r w:rsidR="000B7F7E">
        <w:rPr>
          <w:rFonts w:ascii="Times New Roman" w:hAnsi="Times New Roman" w:cs="Times New Roman"/>
        </w:rPr>
        <w:t xml:space="preserve"> </w:t>
      </w:r>
      <w:r w:rsidR="00C55E36">
        <w:rPr>
          <w:rFonts w:ascii="Times New Roman" w:hAnsi="Times New Roman" w:cs="Times New Roman"/>
        </w:rPr>
        <w:t>soups,</w:t>
      </w:r>
      <w:r w:rsidRPr="00C55E36">
        <w:rPr>
          <w:rFonts w:ascii="Times New Roman" w:hAnsi="Times New Roman" w:cs="Times New Roman"/>
        </w:rPr>
        <w:t xml:space="preserve"> mayonnaise, cooking oil, fryer grease, salad dressing, milkshake mix and ice cream are </w:t>
      </w:r>
      <w:r w:rsidRPr="000A5348">
        <w:rPr>
          <w:rFonts w:ascii="Times New Roman" w:hAnsi="Times New Roman" w:cs="Times New Roman"/>
          <w:b/>
          <w:color w:val="538135" w:themeColor="accent6" w:themeShade="BF"/>
        </w:rPr>
        <w:t>ALL</w:t>
      </w:r>
      <w:r w:rsidRPr="00C55E36">
        <w:rPr>
          <w:rFonts w:ascii="Times New Roman" w:hAnsi="Times New Roman" w:cs="Times New Roman"/>
        </w:rPr>
        <w:t xml:space="preserve"> </w:t>
      </w:r>
      <w:r w:rsidRPr="000A5348">
        <w:rPr>
          <w:rFonts w:ascii="Times New Roman" w:hAnsi="Times New Roman" w:cs="Times New Roman"/>
          <w:color w:val="538135" w:themeColor="accent6" w:themeShade="BF"/>
        </w:rPr>
        <w:t>“</w:t>
      </w:r>
      <w:r w:rsidRPr="000A5348">
        <w:rPr>
          <w:rFonts w:ascii="Times New Roman" w:hAnsi="Times New Roman" w:cs="Times New Roman"/>
          <w:b/>
          <w:color w:val="538135" w:themeColor="accent6" w:themeShade="BF"/>
        </w:rPr>
        <w:t>FOG</w:t>
      </w:r>
      <w:r w:rsidRPr="000A5348">
        <w:rPr>
          <w:rFonts w:ascii="Times New Roman" w:hAnsi="Times New Roman" w:cs="Times New Roman"/>
          <w:color w:val="538135" w:themeColor="accent6" w:themeShade="BF"/>
        </w:rPr>
        <w:t xml:space="preserve">”. </w:t>
      </w:r>
      <w:r w:rsidR="00C55E36">
        <w:rPr>
          <w:rFonts w:ascii="Times New Roman" w:hAnsi="Times New Roman" w:cs="Times New Roman"/>
        </w:rPr>
        <w:t>Sink, dishwasher, hood, and floor cleaning wastewaters and food scraps can contribute to FOG.</w:t>
      </w:r>
    </w:p>
    <w:p w14:paraId="3BA5C96F" w14:textId="77777777" w:rsidR="00C55E36" w:rsidRPr="000B7F7E" w:rsidRDefault="00E268BC" w:rsidP="00C55E36">
      <w:pPr>
        <w:pStyle w:val="Default"/>
        <w:spacing w:after="240"/>
        <w:rPr>
          <w:rFonts w:ascii="Times New Roman" w:hAnsi="Times New Roman" w:cs="Times New Roman"/>
          <w:b/>
          <w:bCs/>
          <w:color w:val="538135" w:themeColor="accent6" w:themeShade="BF"/>
        </w:rPr>
      </w:pPr>
      <w:r w:rsidRPr="000B7F7E">
        <w:rPr>
          <w:rFonts w:ascii="Times New Roman" w:hAnsi="Times New Roman" w:cs="Times New Roman"/>
          <w:b/>
          <w:bCs/>
          <w:color w:val="538135" w:themeColor="accent6" w:themeShade="BF"/>
        </w:rPr>
        <w:t xml:space="preserve">How does FOG get into the sewer system? </w:t>
      </w:r>
    </w:p>
    <w:p w14:paraId="622D7BB1" w14:textId="77777777" w:rsidR="00E268BC" w:rsidRPr="00C55E36" w:rsidRDefault="00E268BC" w:rsidP="00C55E36">
      <w:pPr>
        <w:pStyle w:val="Default"/>
        <w:spacing w:after="240"/>
        <w:rPr>
          <w:rFonts w:ascii="Times New Roman" w:hAnsi="Times New Roman" w:cs="Times New Roman"/>
        </w:rPr>
      </w:pPr>
      <w:r w:rsidRPr="00C55E36">
        <w:rPr>
          <w:rFonts w:ascii="Times New Roman" w:hAnsi="Times New Roman" w:cs="Times New Roman"/>
        </w:rPr>
        <w:t xml:space="preserve">FOG enters the plumbing system through your sinks and floor drains AND dishwashers. FOG sticks to and coats the inside of the sewer pipes. </w:t>
      </w:r>
    </w:p>
    <w:p w14:paraId="05EF2360" w14:textId="77777777" w:rsidR="00E268BC" w:rsidRPr="000B7F7E" w:rsidRDefault="00E268BC" w:rsidP="00E268BC">
      <w:pPr>
        <w:pStyle w:val="Default"/>
        <w:spacing w:after="120"/>
        <w:rPr>
          <w:rFonts w:ascii="Times New Roman" w:hAnsi="Times New Roman" w:cs="Times New Roman"/>
          <w:color w:val="538135" w:themeColor="accent6" w:themeShade="BF"/>
        </w:rPr>
      </w:pPr>
      <w:r w:rsidRPr="000B7F7E">
        <w:rPr>
          <w:rFonts w:ascii="Times New Roman" w:hAnsi="Times New Roman" w:cs="Times New Roman"/>
          <w:b/>
          <w:bCs/>
          <w:color w:val="538135" w:themeColor="accent6" w:themeShade="BF"/>
        </w:rPr>
        <w:t xml:space="preserve">Why Should You Care? </w:t>
      </w:r>
    </w:p>
    <w:p w14:paraId="422CC6D5" w14:textId="77777777" w:rsidR="00E268BC" w:rsidRPr="00C55E36" w:rsidRDefault="00E268BC" w:rsidP="000B7F7E">
      <w:pPr>
        <w:pStyle w:val="Default"/>
        <w:rPr>
          <w:rFonts w:ascii="Times New Roman" w:hAnsi="Times New Roman" w:cs="Times New Roman"/>
        </w:rPr>
      </w:pPr>
      <w:r w:rsidRPr="00C55E36">
        <w:rPr>
          <w:rFonts w:ascii="Times New Roman" w:hAnsi="Times New Roman" w:cs="Times New Roman"/>
        </w:rPr>
        <w:t xml:space="preserve">Because it can disrupt your business which costs you money AND </w:t>
      </w:r>
      <w:r w:rsidR="000B7F7E">
        <w:rPr>
          <w:rFonts w:ascii="Times New Roman" w:hAnsi="Times New Roman" w:cs="Times New Roman"/>
        </w:rPr>
        <w:t xml:space="preserve">WRD </w:t>
      </w:r>
      <w:r w:rsidRPr="00C55E36">
        <w:rPr>
          <w:rFonts w:ascii="Times New Roman" w:hAnsi="Times New Roman" w:cs="Times New Roman"/>
        </w:rPr>
        <w:t xml:space="preserve">can fine you if you cause or contribute to a grease blockage in the sewer. </w:t>
      </w:r>
    </w:p>
    <w:p w14:paraId="4AD4B29E" w14:textId="77777777" w:rsidR="00E268BC" w:rsidRPr="00C55E36" w:rsidRDefault="00E268BC" w:rsidP="00E268BC">
      <w:pPr>
        <w:pStyle w:val="Default"/>
        <w:ind w:left="360" w:hanging="360"/>
        <w:rPr>
          <w:rFonts w:ascii="Times New Roman" w:hAnsi="Times New Roman" w:cs="Times New Roman"/>
        </w:rPr>
      </w:pPr>
      <w:r w:rsidRPr="00C55E36">
        <w:rPr>
          <w:rFonts w:ascii="Times New Roman" w:hAnsi="Times New Roman" w:cs="Times New Roman"/>
        </w:rPr>
        <w:t xml:space="preserve">Fats, oils and grease clogging up the sewer pipes cause sewer overflows. </w:t>
      </w:r>
    </w:p>
    <w:p w14:paraId="5CD53E0C" w14:textId="77777777" w:rsidR="00E268BC" w:rsidRPr="00C55E36" w:rsidRDefault="00E268BC" w:rsidP="000B7F7E">
      <w:pPr>
        <w:pStyle w:val="Default"/>
        <w:numPr>
          <w:ilvl w:val="0"/>
          <w:numId w:val="1"/>
        </w:numPr>
        <w:rPr>
          <w:rFonts w:ascii="Times New Roman" w:hAnsi="Times New Roman" w:cs="Times New Roman"/>
        </w:rPr>
      </w:pPr>
      <w:r w:rsidRPr="00C55E36">
        <w:rPr>
          <w:rFonts w:ascii="Times New Roman" w:hAnsi="Times New Roman" w:cs="Times New Roman"/>
        </w:rPr>
        <w:t xml:space="preserve">Raw sewage is a health hazard. </w:t>
      </w:r>
    </w:p>
    <w:p w14:paraId="7BBA4CB7" w14:textId="77777777" w:rsidR="00E268BC" w:rsidRPr="00C55E36" w:rsidRDefault="00E268BC" w:rsidP="000B7F7E">
      <w:pPr>
        <w:pStyle w:val="Default"/>
        <w:numPr>
          <w:ilvl w:val="0"/>
          <w:numId w:val="1"/>
        </w:numPr>
        <w:rPr>
          <w:rFonts w:ascii="Times New Roman" w:hAnsi="Times New Roman" w:cs="Times New Roman"/>
        </w:rPr>
      </w:pPr>
      <w:r w:rsidRPr="00C55E36">
        <w:rPr>
          <w:rFonts w:ascii="Times New Roman" w:hAnsi="Times New Roman" w:cs="Times New Roman"/>
        </w:rPr>
        <w:t>Sewage overflows into our waterways are also illegal and can subject our community to fines for each one that occurs, and will further increase the costs of our sewer services</w:t>
      </w:r>
      <w:r w:rsidR="000B7F7E">
        <w:rPr>
          <w:rFonts w:ascii="Times New Roman" w:hAnsi="Times New Roman" w:cs="Times New Roman"/>
        </w:rPr>
        <w:t>.</w:t>
      </w:r>
    </w:p>
    <w:p w14:paraId="351DFA13" w14:textId="77777777" w:rsidR="00E268BC" w:rsidRDefault="00E268BC" w:rsidP="00E268BC">
      <w:pPr>
        <w:pStyle w:val="Default"/>
        <w:spacing w:before="60" w:after="60"/>
        <w:rPr>
          <w:rFonts w:ascii="Times New Roman" w:hAnsi="Times New Roman" w:cs="Times New Roman"/>
          <w:b/>
          <w:bCs/>
          <w:color w:val="538135" w:themeColor="accent6" w:themeShade="BF"/>
        </w:rPr>
      </w:pPr>
      <w:r w:rsidRPr="00C55E36">
        <w:rPr>
          <w:rFonts w:ascii="Times New Roman" w:hAnsi="Times New Roman" w:cs="Times New Roman"/>
        </w:rPr>
        <w:t xml:space="preserve"> </w:t>
      </w:r>
      <w:r w:rsidRPr="000B7F7E">
        <w:rPr>
          <w:rFonts w:ascii="Times New Roman" w:hAnsi="Times New Roman" w:cs="Times New Roman"/>
          <w:b/>
          <w:bCs/>
          <w:color w:val="538135" w:themeColor="accent6" w:themeShade="BF"/>
        </w:rPr>
        <w:t xml:space="preserve">The costs of grease blockages and sewer overflows are ultimately paid by YOU! </w:t>
      </w:r>
      <w:r w:rsidR="00C71518">
        <w:rPr>
          <w:rFonts w:ascii="Times New Roman" w:hAnsi="Times New Roman" w:cs="Times New Roman"/>
          <w:b/>
          <w:bCs/>
          <w:color w:val="538135" w:themeColor="accent6" w:themeShade="BF"/>
        </w:rPr>
        <w:t>In case of a blockage call 311!!</w:t>
      </w:r>
    </w:p>
    <w:p w14:paraId="5A0F6C77" w14:textId="77777777" w:rsidR="00E268BC" w:rsidRPr="00C55E36" w:rsidRDefault="00E268BC" w:rsidP="00E268BC">
      <w:pPr>
        <w:pStyle w:val="Default"/>
        <w:spacing w:after="120"/>
        <w:rPr>
          <w:rFonts w:ascii="Times New Roman" w:hAnsi="Times New Roman" w:cs="Times New Roman"/>
        </w:rPr>
      </w:pPr>
      <w:r w:rsidRPr="00C55E36">
        <w:rPr>
          <w:rFonts w:ascii="Times New Roman" w:hAnsi="Times New Roman" w:cs="Times New Roman"/>
          <w:b/>
          <w:bCs/>
        </w:rPr>
        <w:t xml:space="preserve">What is REQUIRED of YOU? </w:t>
      </w:r>
    </w:p>
    <w:p w14:paraId="1CC0E899" w14:textId="77777777" w:rsidR="000B7F7E" w:rsidRDefault="00E268BC" w:rsidP="000B7F7E">
      <w:r w:rsidRPr="00C55E36">
        <w:rPr>
          <w:rFonts w:ascii="Times New Roman" w:hAnsi="Times New Roman" w:cs="Times New Roman"/>
          <w:sz w:val="24"/>
          <w:szCs w:val="24"/>
        </w:rPr>
        <w:t>Commercial Food Service Establishments are required by the Wastewater/</w:t>
      </w:r>
      <w:r w:rsidR="00A325BC" w:rsidRPr="00C55E36">
        <w:rPr>
          <w:rFonts w:ascii="Times New Roman" w:hAnsi="Times New Roman" w:cs="Times New Roman"/>
          <w:sz w:val="24"/>
          <w:szCs w:val="24"/>
        </w:rPr>
        <w:t>Storm water</w:t>
      </w:r>
      <w:r w:rsidRPr="00C55E36">
        <w:rPr>
          <w:rFonts w:ascii="Times New Roman" w:hAnsi="Times New Roman" w:cs="Times New Roman"/>
          <w:sz w:val="24"/>
          <w:szCs w:val="24"/>
        </w:rPr>
        <w:t xml:space="preserve"> Discharge Regulations (WDR) to </w:t>
      </w:r>
      <w:r w:rsidRPr="00C55E36">
        <w:rPr>
          <w:rFonts w:ascii="Times New Roman" w:hAnsi="Times New Roman" w:cs="Times New Roman"/>
          <w:b/>
          <w:bCs/>
          <w:sz w:val="24"/>
          <w:szCs w:val="24"/>
        </w:rPr>
        <w:t>prevent FOG from entering the Public Sewer</w:t>
      </w:r>
      <w:r w:rsidR="000B7F7E">
        <w:rPr>
          <w:rFonts w:ascii="Times New Roman" w:hAnsi="Times New Roman" w:cs="Times New Roman"/>
          <w:b/>
          <w:bCs/>
          <w:sz w:val="24"/>
          <w:szCs w:val="24"/>
        </w:rPr>
        <w:t xml:space="preserve"> Systems.</w:t>
      </w:r>
    </w:p>
    <w:p w14:paraId="2FA8077B" w14:textId="77777777" w:rsidR="00E268BC" w:rsidRPr="000B7F7E" w:rsidRDefault="00E268BC" w:rsidP="00E268BC">
      <w:pPr>
        <w:pStyle w:val="Default"/>
        <w:rPr>
          <w:rFonts w:ascii="Times New Roman" w:hAnsi="Times New Roman" w:cs="Times New Roman"/>
          <w:b/>
          <w:sz w:val="28"/>
          <w:szCs w:val="28"/>
        </w:rPr>
      </w:pPr>
      <w:r>
        <w:t xml:space="preserve"> </w:t>
      </w:r>
      <w:r w:rsidR="000B7F7E" w:rsidRPr="000B7F7E">
        <w:rPr>
          <w:rFonts w:ascii="Times New Roman" w:hAnsi="Times New Roman" w:cs="Times New Roman"/>
          <w:b/>
          <w:color w:val="538135" w:themeColor="accent6" w:themeShade="BF"/>
        </w:rPr>
        <w:t>How can you prevent FOG?</w:t>
      </w:r>
    </w:p>
    <w:p w14:paraId="5C33C19D" w14:textId="77777777" w:rsidR="00E268BC" w:rsidRDefault="00E268BC" w:rsidP="000A5348">
      <w:pPr>
        <w:pStyle w:val="Default"/>
        <w:numPr>
          <w:ilvl w:val="0"/>
          <w:numId w:val="6"/>
        </w:numPr>
        <w:spacing w:before="60" w:after="60"/>
        <w:rPr>
          <w:sz w:val="22"/>
          <w:szCs w:val="22"/>
        </w:rPr>
      </w:pPr>
      <w:r>
        <w:rPr>
          <w:b/>
          <w:bCs/>
          <w:sz w:val="22"/>
          <w:szCs w:val="22"/>
        </w:rPr>
        <w:t>USE Best Management Practices (BMPs</w:t>
      </w:r>
      <w:r w:rsidR="00A325BC">
        <w:rPr>
          <w:b/>
          <w:bCs/>
          <w:sz w:val="22"/>
          <w:szCs w:val="22"/>
        </w:rPr>
        <w:t>) in</w:t>
      </w:r>
      <w:r>
        <w:rPr>
          <w:b/>
          <w:bCs/>
          <w:sz w:val="22"/>
          <w:szCs w:val="22"/>
        </w:rPr>
        <w:t xml:space="preserve"> the Kitchen (see reverse side); </w:t>
      </w:r>
    </w:p>
    <w:p w14:paraId="48978C43" w14:textId="77777777" w:rsidR="00E268BC" w:rsidRDefault="00E268BC" w:rsidP="000A5348">
      <w:pPr>
        <w:pStyle w:val="Default"/>
        <w:numPr>
          <w:ilvl w:val="0"/>
          <w:numId w:val="6"/>
        </w:numPr>
        <w:spacing w:before="60" w:after="60"/>
        <w:rPr>
          <w:sz w:val="22"/>
          <w:szCs w:val="22"/>
        </w:rPr>
      </w:pPr>
      <w:r>
        <w:rPr>
          <w:b/>
          <w:bCs/>
          <w:sz w:val="22"/>
          <w:szCs w:val="22"/>
        </w:rPr>
        <w:t xml:space="preserve">CONTRACT with a pumping company to clean out and haul away the grease from the grease interceptor/trap; </w:t>
      </w:r>
    </w:p>
    <w:p w14:paraId="78ECB337" w14:textId="77777777" w:rsidR="00E268BC" w:rsidRDefault="00E268BC" w:rsidP="000A5348">
      <w:pPr>
        <w:pStyle w:val="Default"/>
        <w:numPr>
          <w:ilvl w:val="0"/>
          <w:numId w:val="6"/>
        </w:numPr>
        <w:spacing w:before="60" w:after="60"/>
        <w:rPr>
          <w:sz w:val="22"/>
          <w:szCs w:val="22"/>
        </w:rPr>
      </w:pPr>
      <w:r>
        <w:rPr>
          <w:b/>
          <w:bCs/>
          <w:sz w:val="22"/>
          <w:szCs w:val="22"/>
        </w:rPr>
        <w:t xml:space="preserve">MAINTAIN the grease interceptor/trap routinely; </w:t>
      </w:r>
    </w:p>
    <w:p w14:paraId="2BA42CC2" w14:textId="77777777" w:rsidR="00E268BC" w:rsidRDefault="00E268BC" w:rsidP="000A5348">
      <w:pPr>
        <w:pStyle w:val="Default"/>
        <w:numPr>
          <w:ilvl w:val="0"/>
          <w:numId w:val="6"/>
        </w:numPr>
        <w:spacing w:before="60" w:after="60"/>
        <w:rPr>
          <w:sz w:val="22"/>
          <w:szCs w:val="22"/>
        </w:rPr>
      </w:pPr>
      <w:r>
        <w:rPr>
          <w:b/>
          <w:bCs/>
          <w:sz w:val="22"/>
          <w:szCs w:val="22"/>
        </w:rPr>
        <w:t xml:space="preserve">TRAIN employees and post instructions where they are needed; </w:t>
      </w:r>
    </w:p>
    <w:p w14:paraId="5455D7FB" w14:textId="77777777" w:rsidR="00E268BC" w:rsidRDefault="00E268BC" w:rsidP="000A5348">
      <w:pPr>
        <w:pStyle w:val="Default"/>
        <w:numPr>
          <w:ilvl w:val="0"/>
          <w:numId w:val="6"/>
        </w:numPr>
        <w:spacing w:before="60" w:after="60"/>
        <w:rPr>
          <w:sz w:val="22"/>
          <w:szCs w:val="22"/>
        </w:rPr>
      </w:pPr>
      <w:r>
        <w:rPr>
          <w:b/>
          <w:bCs/>
          <w:sz w:val="22"/>
          <w:szCs w:val="22"/>
        </w:rPr>
        <w:t xml:space="preserve">RECORD all your cleaning, maintenance and training activities; and </w:t>
      </w:r>
    </w:p>
    <w:p w14:paraId="7C4B994A" w14:textId="77777777" w:rsidR="00E268BC" w:rsidRDefault="00E268BC" w:rsidP="000A5348">
      <w:pPr>
        <w:pStyle w:val="Default"/>
        <w:numPr>
          <w:ilvl w:val="0"/>
          <w:numId w:val="6"/>
        </w:numPr>
        <w:spacing w:before="60" w:after="60"/>
        <w:rPr>
          <w:sz w:val="22"/>
          <w:szCs w:val="22"/>
        </w:rPr>
      </w:pPr>
      <w:r>
        <w:rPr>
          <w:b/>
          <w:bCs/>
          <w:sz w:val="22"/>
          <w:szCs w:val="22"/>
        </w:rPr>
        <w:t xml:space="preserve">KEEP the records for at least 3 years </w:t>
      </w:r>
    </w:p>
    <w:p w14:paraId="7B44954E" w14:textId="77777777" w:rsidR="00E268BC" w:rsidRDefault="00E268BC" w:rsidP="00A325BC">
      <w:pPr>
        <w:jc w:val="center"/>
        <w:rPr>
          <w:b/>
          <w:bCs/>
          <w:sz w:val="30"/>
          <w:szCs w:val="30"/>
        </w:rPr>
      </w:pPr>
      <w:r w:rsidRPr="00A325BC">
        <w:rPr>
          <w:rFonts w:ascii="Times New Roman" w:hAnsi="Times New Roman" w:cs="Times New Roman"/>
          <w:b/>
          <w:bCs/>
          <w:color w:val="538135" w:themeColor="accent6" w:themeShade="BF"/>
          <w:sz w:val="36"/>
          <w:szCs w:val="36"/>
        </w:rPr>
        <w:lastRenderedPageBreak/>
        <w:t>Best Management Practices for Food Service Establishment Kitchens</w:t>
      </w:r>
    </w:p>
    <w:p w14:paraId="1120C10F" w14:textId="77777777" w:rsidR="00E268BC" w:rsidRDefault="00E268BC" w:rsidP="00A325BC">
      <w:r w:rsidRPr="00A325BC">
        <w:rPr>
          <w:rFonts w:ascii="Times New Roman" w:hAnsi="Times New Roman" w:cs="Times New Roman"/>
          <w:sz w:val="24"/>
          <w:szCs w:val="24"/>
        </w:rPr>
        <w:t>Best Management Practices (BMP) are inexpensive alternatives that can drastically reduce the a</w:t>
      </w:r>
      <w:r w:rsidR="00A325BC">
        <w:rPr>
          <w:rFonts w:ascii="Times New Roman" w:hAnsi="Times New Roman" w:cs="Times New Roman"/>
          <w:sz w:val="24"/>
          <w:szCs w:val="24"/>
        </w:rPr>
        <w:t xml:space="preserve">mounts of </w:t>
      </w:r>
      <w:r w:rsidRPr="00A325BC">
        <w:rPr>
          <w:rFonts w:ascii="Times New Roman" w:hAnsi="Times New Roman" w:cs="Times New Roman"/>
          <w:sz w:val="24"/>
          <w:szCs w:val="24"/>
        </w:rPr>
        <w:t>(FOG) that enter the sewer from your Food Service Establishment (FSE). If you follow these BMPs you will reduce the amount of greasy water and waste solids your FSE discharges to the sewer.</w:t>
      </w:r>
    </w:p>
    <w:p w14:paraId="309B0955" w14:textId="77777777" w:rsidR="00E268BC" w:rsidRDefault="00E268BC" w:rsidP="00A325BC">
      <w:pPr>
        <w:pStyle w:val="Default"/>
        <w:numPr>
          <w:ilvl w:val="0"/>
          <w:numId w:val="5"/>
        </w:numPr>
        <w:spacing w:before="240" w:after="80"/>
        <w:rPr>
          <w:sz w:val="22"/>
          <w:szCs w:val="22"/>
        </w:rPr>
      </w:pPr>
      <w:r>
        <w:rPr>
          <w:sz w:val="22"/>
          <w:szCs w:val="22"/>
        </w:rPr>
        <w:t xml:space="preserve">Do NOT pour any grease, dairy products, milk shake syrups, cake icing, batters or gravy into sinks, floor drains or mop sinks. Instead, dispose of to an approved container, and do not dispose of to any storm water grate, drain or conveyance. </w:t>
      </w:r>
    </w:p>
    <w:p w14:paraId="46C1D426" w14:textId="77777777" w:rsidR="00E268BC" w:rsidRDefault="00E268BC" w:rsidP="00A325BC">
      <w:pPr>
        <w:pStyle w:val="Default"/>
        <w:numPr>
          <w:ilvl w:val="0"/>
          <w:numId w:val="5"/>
        </w:numPr>
        <w:spacing w:before="80" w:after="80"/>
        <w:rPr>
          <w:sz w:val="22"/>
          <w:szCs w:val="22"/>
        </w:rPr>
      </w:pPr>
      <w:r>
        <w:rPr>
          <w:sz w:val="22"/>
          <w:szCs w:val="22"/>
        </w:rPr>
        <w:t xml:space="preserve">Post </w:t>
      </w:r>
      <w:r w:rsidRPr="00A325BC">
        <w:rPr>
          <w:b/>
          <w:bCs/>
          <w:color w:val="538135" w:themeColor="accent6" w:themeShade="BF"/>
          <w:sz w:val="22"/>
          <w:szCs w:val="22"/>
          <w:highlight w:val="yellow"/>
        </w:rPr>
        <w:t>“NO GREASE</w:t>
      </w:r>
      <w:r w:rsidRPr="00A325BC">
        <w:rPr>
          <w:b/>
          <w:bCs/>
          <w:color w:val="538135" w:themeColor="accent6" w:themeShade="BF"/>
          <w:sz w:val="22"/>
          <w:szCs w:val="22"/>
        </w:rPr>
        <w:t xml:space="preserve">” </w:t>
      </w:r>
      <w:r>
        <w:rPr>
          <w:sz w:val="22"/>
          <w:szCs w:val="22"/>
        </w:rPr>
        <w:t xml:space="preserve">signs above all kitchen sinks to remind employees; </w:t>
      </w:r>
    </w:p>
    <w:p w14:paraId="14F4A095" w14:textId="77777777" w:rsidR="00E268BC" w:rsidRDefault="00E268BC" w:rsidP="00A325BC">
      <w:pPr>
        <w:pStyle w:val="Default"/>
        <w:numPr>
          <w:ilvl w:val="0"/>
          <w:numId w:val="5"/>
        </w:numPr>
        <w:spacing w:before="80" w:after="80"/>
        <w:rPr>
          <w:sz w:val="22"/>
          <w:szCs w:val="22"/>
        </w:rPr>
      </w:pPr>
      <w:r>
        <w:rPr>
          <w:sz w:val="22"/>
          <w:szCs w:val="22"/>
        </w:rPr>
        <w:t xml:space="preserve">Do not allow an exhaust hood cleaner to discharge greasy water into your floor drains or outdoor drains; </w:t>
      </w:r>
    </w:p>
    <w:p w14:paraId="07C12164" w14:textId="77777777" w:rsidR="00E268BC" w:rsidRDefault="00E268BC" w:rsidP="00A325BC">
      <w:pPr>
        <w:pStyle w:val="Default"/>
        <w:numPr>
          <w:ilvl w:val="0"/>
          <w:numId w:val="5"/>
        </w:numPr>
        <w:spacing w:before="80" w:after="80"/>
        <w:rPr>
          <w:sz w:val="22"/>
          <w:szCs w:val="22"/>
        </w:rPr>
      </w:pPr>
      <w:r>
        <w:rPr>
          <w:sz w:val="22"/>
          <w:szCs w:val="22"/>
        </w:rPr>
        <w:t xml:space="preserve">Use strainers in sink drains and floor drains to prevent large food particles from going into the sewer line; </w:t>
      </w:r>
    </w:p>
    <w:p w14:paraId="172AA1B8" w14:textId="77777777" w:rsidR="00E268BC" w:rsidRDefault="00E268BC" w:rsidP="00A325BC">
      <w:pPr>
        <w:pStyle w:val="Default"/>
        <w:numPr>
          <w:ilvl w:val="0"/>
          <w:numId w:val="5"/>
        </w:numPr>
        <w:spacing w:before="80" w:after="80"/>
        <w:rPr>
          <w:sz w:val="22"/>
          <w:szCs w:val="22"/>
        </w:rPr>
      </w:pPr>
      <w:r>
        <w:rPr>
          <w:sz w:val="22"/>
          <w:szCs w:val="22"/>
        </w:rPr>
        <w:t xml:space="preserve">Manually scrape and/or wipe off into a trash receptacle all visible accumulations of </w:t>
      </w:r>
      <w:r w:rsidR="0027448C">
        <w:rPr>
          <w:sz w:val="22"/>
          <w:szCs w:val="22"/>
        </w:rPr>
        <w:t>FOG re</w:t>
      </w:r>
      <w:r>
        <w:rPr>
          <w:sz w:val="22"/>
          <w:szCs w:val="22"/>
        </w:rPr>
        <w:t xml:space="preserve">sidue from dishes, cookware and utensils; </w:t>
      </w:r>
    </w:p>
    <w:p w14:paraId="598ABFA6" w14:textId="77777777" w:rsidR="00E268BC" w:rsidRPr="00A325BC" w:rsidRDefault="00E268BC" w:rsidP="00A325BC">
      <w:pPr>
        <w:pStyle w:val="Default"/>
        <w:numPr>
          <w:ilvl w:val="0"/>
          <w:numId w:val="5"/>
        </w:numPr>
        <w:spacing w:before="80" w:after="80"/>
        <w:rPr>
          <w:color w:val="538135" w:themeColor="accent6" w:themeShade="BF"/>
          <w:sz w:val="22"/>
          <w:szCs w:val="22"/>
        </w:rPr>
      </w:pPr>
      <w:r>
        <w:rPr>
          <w:sz w:val="22"/>
          <w:szCs w:val="22"/>
        </w:rPr>
        <w:t xml:space="preserve">After wiping, hot-rinse with a sprayer all dishes, cookware and utensils in a sink compartment that is plumbed to a grease interceptor before handwashing with detergent or placing in the dishwashing machine. </w:t>
      </w:r>
      <w:r w:rsidRPr="00A325BC">
        <w:rPr>
          <w:b/>
          <w:bCs/>
          <w:color w:val="538135" w:themeColor="accent6" w:themeShade="BF"/>
          <w:sz w:val="22"/>
          <w:szCs w:val="22"/>
          <w:highlight w:val="yellow"/>
        </w:rPr>
        <w:t xml:space="preserve">Use </w:t>
      </w:r>
      <w:r w:rsidRPr="00A325BC">
        <w:rPr>
          <w:b/>
          <w:bCs/>
          <w:color w:val="538135" w:themeColor="accent6" w:themeShade="BF"/>
          <w:sz w:val="22"/>
          <w:szCs w:val="22"/>
          <w:highlight w:val="yellow"/>
          <w:u w:val="single"/>
        </w:rPr>
        <w:t>detergents</w:t>
      </w:r>
      <w:r w:rsidRPr="00A325BC">
        <w:rPr>
          <w:b/>
          <w:bCs/>
          <w:color w:val="538135" w:themeColor="accent6" w:themeShade="BF"/>
          <w:sz w:val="22"/>
          <w:szCs w:val="22"/>
          <w:highlight w:val="yellow"/>
        </w:rPr>
        <w:t>, because soaps contain oils;</w:t>
      </w:r>
      <w:r w:rsidRPr="00A325BC">
        <w:rPr>
          <w:b/>
          <w:bCs/>
          <w:color w:val="538135" w:themeColor="accent6" w:themeShade="BF"/>
          <w:sz w:val="22"/>
          <w:szCs w:val="22"/>
        </w:rPr>
        <w:t xml:space="preserve"> </w:t>
      </w:r>
    </w:p>
    <w:p w14:paraId="3AE718CC" w14:textId="77777777" w:rsidR="00E268BC" w:rsidRDefault="00E268BC" w:rsidP="00A325BC">
      <w:pPr>
        <w:pStyle w:val="Default"/>
        <w:numPr>
          <w:ilvl w:val="0"/>
          <w:numId w:val="5"/>
        </w:numPr>
        <w:spacing w:before="80" w:after="80"/>
        <w:rPr>
          <w:sz w:val="22"/>
          <w:szCs w:val="22"/>
        </w:rPr>
      </w:pPr>
      <w:r>
        <w:rPr>
          <w:sz w:val="22"/>
          <w:szCs w:val="22"/>
        </w:rPr>
        <w:t xml:space="preserve">Use paper towels to wipe down work areas. Use food grade paper to soak up oil and grease under fryer baskets; </w:t>
      </w:r>
    </w:p>
    <w:p w14:paraId="4EAF2D9D" w14:textId="77777777" w:rsidR="00E268BC" w:rsidRDefault="00E268BC" w:rsidP="00A325BC">
      <w:pPr>
        <w:pStyle w:val="Default"/>
        <w:numPr>
          <w:ilvl w:val="0"/>
          <w:numId w:val="5"/>
        </w:numPr>
        <w:spacing w:before="80" w:after="80"/>
      </w:pPr>
      <w:r w:rsidRPr="00A325BC">
        <w:rPr>
          <w:sz w:val="22"/>
          <w:szCs w:val="22"/>
        </w:rPr>
        <w:t xml:space="preserve">Keep kitty litter on hand and use it to absorb large spills. Sweep up the absorbed material and dispose of it in the trash container; </w:t>
      </w:r>
    </w:p>
    <w:p w14:paraId="3175C244" w14:textId="77777777" w:rsidR="00E268BC" w:rsidRPr="0027448C" w:rsidRDefault="00E268BC" w:rsidP="00A325BC">
      <w:pPr>
        <w:pStyle w:val="Default"/>
        <w:numPr>
          <w:ilvl w:val="0"/>
          <w:numId w:val="5"/>
        </w:numPr>
        <w:spacing w:before="80" w:after="80"/>
        <w:rPr>
          <w:sz w:val="22"/>
          <w:szCs w:val="22"/>
        </w:rPr>
      </w:pPr>
      <w:r w:rsidRPr="0027448C">
        <w:rPr>
          <w:sz w:val="22"/>
          <w:szCs w:val="22"/>
        </w:rPr>
        <w:t>Be sure you have a contract for grease interceptor cleaning a</w:t>
      </w:r>
      <w:r w:rsidR="0027448C" w:rsidRPr="0027448C">
        <w:rPr>
          <w:sz w:val="22"/>
          <w:szCs w:val="22"/>
        </w:rPr>
        <w:t>nd keep a file of all receipts</w:t>
      </w:r>
      <w:r w:rsidR="0027448C">
        <w:rPr>
          <w:sz w:val="22"/>
          <w:szCs w:val="22"/>
        </w:rPr>
        <w:t xml:space="preserve">. </w:t>
      </w:r>
      <w:r w:rsidRPr="0027448C">
        <w:rPr>
          <w:sz w:val="22"/>
          <w:szCs w:val="22"/>
        </w:rPr>
        <w:t>Inspect the grease interceptor weekly and be sure it is cleaned before a quarter of it is fu</w:t>
      </w:r>
      <w:r w:rsidR="00A325BC" w:rsidRPr="0027448C">
        <w:rPr>
          <w:sz w:val="22"/>
          <w:szCs w:val="22"/>
        </w:rPr>
        <w:t xml:space="preserve">ll of the solids in the </w:t>
      </w:r>
      <w:r w:rsidR="000A5348" w:rsidRPr="0027448C">
        <w:rPr>
          <w:sz w:val="22"/>
          <w:szCs w:val="22"/>
        </w:rPr>
        <w:t>bottom. Keep</w:t>
      </w:r>
      <w:r w:rsidRPr="0027448C">
        <w:rPr>
          <w:sz w:val="22"/>
          <w:szCs w:val="22"/>
        </w:rPr>
        <w:t xml:space="preserve"> a log of these inspections with date, initials of the person inspecting the interceptor and observations noted; </w:t>
      </w:r>
    </w:p>
    <w:p w14:paraId="0DAA8991" w14:textId="77777777" w:rsidR="00E268BC" w:rsidRDefault="00E268BC" w:rsidP="00A325BC">
      <w:pPr>
        <w:pStyle w:val="Default"/>
        <w:numPr>
          <w:ilvl w:val="0"/>
          <w:numId w:val="5"/>
        </w:numPr>
        <w:spacing w:before="80" w:after="80"/>
        <w:rPr>
          <w:sz w:val="22"/>
          <w:szCs w:val="22"/>
        </w:rPr>
      </w:pPr>
      <w:r>
        <w:rPr>
          <w:sz w:val="22"/>
          <w:szCs w:val="22"/>
        </w:rPr>
        <w:t>It is a good idea to have a representative of your FSE present when the interceptor is pumped out by your grease pumper/hauler. Make sure they completely pump out the entire contents of the interceptor</w:t>
      </w:r>
      <w:r w:rsidR="00A325BC">
        <w:rPr>
          <w:sz w:val="22"/>
          <w:szCs w:val="22"/>
        </w:rPr>
        <w:t xml:space="preserve"> to the bottom;</w:t>
      </w:r>
      <w:r>
        <w:rPr>
          <w:sz w:val="22"/>
          <w:szCs w:val="22"/>
        </w:rPr>
        <w:t xml:space="preserve"> </w:t>
      </w:r>
    </w:p>
    <w:p w14:paraId="626C3180" w14:textId="77777777" w:rsidR="00E268BC" w:rsidRPr="00A325BC" w:rsidRDefault="00E268BC" w:rsidP="00A325BC">
      <w:pPr>
        <w:pStyle w:val="Default"/>
        <w:numPr>
          <w:ilvl w:val="0"/>
          <w:numId w:val="5"/>
        </w:numPr>
        <w:spacing w:before="80" w:after="80"/>
        <w:rPr>
          <w:color w:val="538135" w:themeColor="accent6" w:themeShade="BF"/>
          <w:sz w:val="23"/>
          <w:szCs w:val="23"/>
          <w:highlight w:val="yellow"/>
        </w:rPr>
      </w:pPr>
      <w:r w:rsidRPr="00A325BC">
        <w:rPr>
          <w:b/>
          <w:bCs/>
          <w:color w:val="538135" w:themeColor="accent6" w:themeShade="BF"/>
          <w:sz w:val="23"/>
          <w:szCs w:val="23"/>
          <w:highlight w:val="yellow"/>
        </w:rPr>
        <w:t xml:space="preserve">Educate and train all employees on grease control kitchen BMPs and the importance of preventing sewer pipe clogs. </w:t>
      </w:r>
    </w:p>
    <w:p w14:paraId="6BB3F3AF" w14:textId="77777777" w:rsidR="00E268BC" w:rsidRDefault="00E268BC" w:rsidP="00A325BC">
      <w:pPr>
        <w:pStyle w:val="Default"/>
        <w:rPr>
          <w:sz w:val="22"/>
          <w:szCs w:val="22"/>
        </w:rPr>
      </w:pPr>
      <w:r>
        <w:rPr>
          <w:sz w:val="22"/>
          <w:szCs w:val="22"/>
        </w:rPr>
        <w:t xml:space="preserve">Following these simple guidelines along with having a correctly sized and properly functioning grease interceptor will reduce the amounts of fats, oils and greases from discharging into the collection system that may possibly cause a grease blockage. </w:t>
      </w:r>
    </w:p>
    <w:p w14:paraId="719867E6" w14:textId="77777777" w:rsidR="00E268BC" w:rsidRPr="0027448C" w:rsidRDefault="00E268BC" w:rsidP="0027448C">
      <w:pPr>
        <w:pStyle w:val="Default"/>
        <w:spacing w:before="80" w:after="80"/>
        <w:ind w:left="440" w:hanging="440"/>
        <w:jc w:val="center"/>
        <w:rPr>
          <w:b/>
          <w:color w:val="538135" w:themeColor="accent6" w:themeShade="BF"/>
        </w:rPr>
      </w:pPr>
      <w:r w:rsidRPr="0027448C">
        <w:rPr>
          <w:b/>
          <w:color w:val="538135" w:themeColor="accent6" w:themeShade="BF"/>
          <w:sz w:val="22"/>
          <w:szCs w:val="22"/>
        </w:rPr>
        <w:t xml:space="preserve">If you should have any questions regarding BMPs </w:t>
      </w:r>
      <w:r w:rsidR="0027448C" w:rsidRPr="0027448C">
        <w:rPr>
          <w:b/>
          <w:color w:val="538135" w:themeColor="accent6" w:themeShade="BF"/>
          <w:sz w:val="22"/>
          <w:szCs w:val="22"/>
        </w:rPr>
        <w:t>call</w:t>
      </w:r>
      <w:r w:rsidRPr="0027448C">
        <w:rPr>
          <w:b/>
          <w:color w:val="538135" w:themeColor="accent6" w:themeShade="BF"/>
          <w:sz w:val="22"/>
          <w:szCs w:val="22"/>
        </w:rPr>
        <w:t xml:space="preserve"> </w:t>
      </w:r>
      <w:r w:rsidR="00A325BC" w:rsidRPr="0027448C">
        <w:rPr>
          <w:b/>
          <w:color w:val="538135" w:themeColor="accent6" w:themeShade="BF"/>
          <w:sz w:val="22"/>
          <w:szCs w:val="22"/>
        </w:rPr>
        <w:t>WRD at (912)651-6620</w:t>
      </w:r>
      <w:r w:rsidRPr="0027448C">
        <w:rPr>
          <w:b/>
          <w:color w:val="538135" w:themeColor="accent6" w:themeShade="BF"/>
          <w:sz w:val="22"/>
          <w:szCs w:val="22"/>
        </w:rPr>
        <w:t xml:space="preserve"> and ask for the </w:t>
      </w:r>
      <w:r w:rsidR="00A325BC" w:rsidRPr="0027448C">
        <w:rPr>
          <w:b/>
          <w:color w:val="538135" w:themeColor="accent6" w:themeShade="BF"/>
          <w:sz w:val="22"/>
          <w:szCs w:val="22"/>
        </w:rPr>
        <w:t>FOG Department</w:t>
      </w:r>
      <w:r w:rsidRPr="0027448C">
        <w:rPr>
          <w:b/>
          <w:color w:val="538135" w:themeColor="accent6" w:themeShade="BF"/>
          <w:sz w:val="22"/>
          <w:szCs w:val="22"/>
        </w:rPr>
        <w:t>.</w:t>
      </w:r>
    </w:p>
    <w:sectPr w:rsidR="00E268BC" w:rsidRPr="0027448C" w:rsidSect="000A5348">
      <w:headerReference w:type="default" r:id="rId11"/>
      <w:footerReference w:type="default" r:id="rId1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54AE" w14:textId="77777777" w:rsidR="00E268BC" w:rsidRDefault="00E268BC" w:rsidP="00E268BC">
      <w:pPr>
        <w:spacing w:after="0" w:line="240" w:lineRule="auto"/>
      </w:pPr>
      <w:r>
        <w:separator/>
      </w:r>
    </w:p>
  </w:endnote>
  <w:endnote w:type="continuationSeparator" w:id="0">
    <w:p w14:paraId="1E4BB25C" w14:textId="77777777" w:rsidR="00E268BC" w:rsidRDefault="00E268BC" w:rsidP="00E2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83FE" w14:textId="77777777" w:rsidR="00E268BC" w:rsidRDefault="00E268BC" w:rsidP="00E268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CD9F" w14:textId="77777777" w:rsidR="00E268BC" w:rsidRDefault="00E268BC" w:rsidP="00E268BC">
      <w:pPr>
        <w:spacing w:after="0" w:line="240" w:lineRule="auto"/>
      </w:pPr>
      <w:r>
        <w:separator/>
      </w:r>
    </w:p>
  </w:footnote>
  <w:footnote w:type="continuationSeparator" w:id="0">
    <w:p w14:paraId="5B2682E0" w14:textId="77777777" w:rsidR="00E268BC" w:rsidRDefault="00E268BC" w:rsidP="00E26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8942" w14:textId="77777777" w:rsidR="00E268BC" w:rsidRDefault="00E268BC" w:rsidP="00E268BC">
    <w:pPr>
      <w:pStyle w:val="Header"/>
      <w:jc w:val="center"/>
    </w:pPr>
    <w:r>
      <w:rPr>
        <w:noProof/>
      </w:rPr>
      <w:drawing>
        <wp:inline distT="0" distB="0" distL="0" distR="0" wp14:anchorId="4746C58A" wp14:editId="01150BB7">
          <wp:extent cx="2620133" cy="708660"/>
          <wp:effectExtent l="0" t="0" r="889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669" cy="732065"/>
                  </a:xfrm>
                  <a:prstGeom prst="rect">
                    <a:avLst/>
                  </a:prstGeom>
                  <a:noFill/>
                  <a:ln>
                    <a:noFill/>
                  </a:ln>
                </pic:spPr>
              </pic:pic>
            </a:graphicData>
          </a:graphic>
        </wp:inline>
      </w:drawing>
    </w:r>
    <w:r w:rsidR="00292CE4">
      <w:rPr>
        <w:rFonts w:ascii="Times New Roman" w:eastAsia="Times New Roman" w:hAnsi="Times New Roman" w:cs="Times New Roman"/>
        <w:sz w:val="24"/>
        <w:szCs w:val="24"/>
      </w:rPr>
      <w:object w:dxaOrig="1440" w:dyaOrig="1440" w14:anchorId="1F6F1106">
        <v:rect id="_x0000_s1026" style="position:absolute;left:0;text-align:left;margin-left:543.7pt;margin-top:5.25pt;width:238.4pt;height:109.95pt;z-index:251660288;mso-wrap-distance-left:2.88pt;mso-wrap-distance-top:2.88pt;mso-wrap-distance-right:2.88pt;mso-wrap-distance-bottom:2.88pt;mso-position-horizontal-relative:text;mso-position-vertical-relative:text" o:preferrelative="t" filled="f" stroked="f" strokecolor="black [0]" insetpen="t" o:cliptowrap="t">
          <v:stroke>
            <o:left v:ext="view" color="black [0]"/>
            <o:top v:ext="view" color="black [0]"/>
            <o:right v:ext="view" color="black [0]"/>
            <o:bottom v:ext="view" color="black [0]"/>
            <o:column v:ext="view" color="black [0]"/>
          </v:stroke>
          <v:imagedata r:id="rId2" o:title="&lt;EMPTY&gt;"/>
          <v:shadow color="#ccc"/>
          <v:path o:extrusionok="f"/>
          <o:lock v:ext="edit" aspectratio="t"/>
        </v:rect>
        <o:OLEObject Type="Embed" ProgID="Word.Document.12" ShapeID="_x0000_s1026" DrawAspect="Content" ObjectID="_1817798571" r:id="rId3"/>
      </w:object>
    </w:r>
    <w:r w:rsidR="00292CE4">
      <w:rPr>
        <w:rFonts w:ascii="Times New Roman" w:eastAsia="Times New Roman" w:hAnsi="Times New Roman" w:cs="Times New Roman"/>
        <w:sz w:val="24"/>
        <w:szCs w:val="24"/>
      </w:rPr>
      <w:object w:dxaOrig="1440" w:dyaOrig="1440" w14:anchorId="02ECC6BC">
        <v:rect id="_x0000_s1025" style="position:absolute;left:0;text-align:left;margin-left:543.7pt;margin-top:5.25pt;width:238.4pt;height:109.95pt;z-index:251658240;mso-wrap-distance-left:2.88pt;mso-wrap-distance-top:2.88pt;mso-wrap-distance-right:2.88pt;mso-wrap-distance-bottom:2.88pt;mso-position-horizontal-relative:text;mso-position-vertical-relative:text" o:preferrelative="t" filled="f" stroked="f" strokecolor="black [0]" insetpen="t" o:cliptowrap="t">
          <v:stroke>
            <o:left v:ext="view" color="black [0]"/>
            <o:top v:ext="view" color="black [0]"/>
            <o:right v:ext="view" color="black [0]"/>
            <o:bottom v:ext="view" color="black [0]"/>
            <o:column v:ext="view" color="black [0]"/>
          </v:stroke>
          <v:imagedata r:id="rId2" o:title="&lt;EMPTY&gt;"/>
          <v:shadow color="#ccc"/>
          <v:path o:extrusionok="f"/>
          <o:lock v:ext="edit" aspectratio="t"/>
        </v:rect>
        <o:OLEObject Type="Embed" ProgID="Word.Document.12" ShapeID="_x0000_s1025" DrawAspect="Content" ObjectID="_1817798572"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7E"/>
    <w:multiLevelType w:val="hybridMultilevel"/>
    <w:tmpl w:val="9FB0B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766C8"/>
    <w:multiLevelType w:val="hybridMultilevel"/>
    <w:tmpl w:val="A3904094"/>
    <w:lvl w:ilvl="0" w:tplc="F33C0D10">
      <w:start w:val="1"/>
      <w:numFmt w:val="bullet"/>
      <w:lvlText w:val=""/>
      <w:lvlJc w:val="left"/>
      <w:pPr>
        <w:ind w:left="1800" w:hanging="360"/>
      </w:pPr>
      <w:rPr>
        <w:rFonts w:ascii="Wingdings" w:hAnsi="Wingdings" w:hint="default"/>
        <w:color w:val="538135" w:themeColor="accent6" w:themeShade="B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7064304"/>
    <w:multiLevelType w:val="hybridMultilevel"/>
    <w:tmpl w:val="4370ACAE"/>
    <w:lvl w:ilvl="0" w:tplc="5100DFC8">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03820"/>
    <w:multiLevelType w:val="hybridMultilevel"/>
    <w:tmpl w:val="DD349D88"/>
    <w:lvl w:ilvl="0" w:tplc="F078D47C">
      <w:start w:val="1"/>
      <w:numFmt w:val="bullet"/>
      <w:lvlText w:val=""/>
      <w:lvlJc w:val="left"/>
      <w:pPr>
        <w:ind w:left="810" w:hanging="360"/>
      </w:pPr>
      <w:rPr>
        <w:rFonts w:ascii="Wingdings" w:hAnsi="Wingdings" w:hint="default"/>
        <w:color w:val="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E6916"/>
    <w:multiLevelType w:val="hybridMultilevel"/>
    <w:tmpl w:val="BE08D0F2"/>
    <w:lvl w:ilvl="0" w:tplc="5100DFC8">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C57F08"/>
    <w:multiLevelType w:val="hybridMultilevel"/>
    <w:tmpl w:val="87F89C1C"/>
    <w:lvl w:ilvl="0" w:tplc="95F0B6A6">
      <w:start w:val="1"/>
      <w:numFmt w:val="decimal"/>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7ED756CA"/>
    <w:multiLevelType w:val="hybridMultilevel"/>
    <w:tmpl w:val="457E52FC"/>
    <w:lvl w:ilvl="0" w:tplc="11E62670">
      <w:start w:val="1"/>
      <w:numFmt w:val="bullet"/>
      <w:lvlText w:val=""/>
      <w:lvlJc w:val="left"/>
      <w:pPr>
        <w:ind w:left="1800" w:hanging="360"/>
      </w:pPr>
      <w:rPr>
        <w:rFonts w:ascii="Wingdings" w:hAnsi="Wingdings" w:hint="default"/>
        <w:color w:val="538135" w:themeColor="accent6" w:themeShade="B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75009180">
    <w:abstractNumId w:val="1"/>
  </w:num>
  <w:num w:numId="2" w16cid:durableId="1830906859">
    <w:abstractNumId w:val="4"/>
  </w:num>
  <w:num w:numId="3" w16cid:durableId="735980403">
    <w:abstractNumId w:val="2"/>
  </w:num>
  <w:num w:numId="4" w16cid:durableId="368334508">
    <w:abstractNumId w:val="0"/>
  </w:num>
  <w:num w:numId="5" w16cid:durableId="1067410924">
    <w:abstractNumId w:val="3"/>
  </w:num>
  <w:num w:numId="6" w16cid:durableId="2052069080">
    <w:abstractNumId w:val="6"/>
  </w:num>
  <w:num w:numId="7" w16cid:durableId="998995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BC"/>
    <w:rsid w:val="000A5348"/>
    <w:rsid w:val="000B7F7E"/>
    <w:rsid w:val="0027448C"/>
    <w:rsid w:val="00292CE4"/>
    <w:rsid w:val="006B094C"/>
    <w:rsid w:val="00826337"/>
    <w:rsid w:val="00A325BC"/>
    <w:rsid w:val="00C55E36"/>
    <w:rsid w:val="00C71518"/>
    <w:rsid w:val="00DB4C35"/>
    <w:rsid w:val="00E2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18BAA"/>
  <w15:chartTrackingRefBased/>
  <w15:docId w15:val="{B95514EC-CC76-46A4-BFB7-A7646DDF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68BC"/>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E26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BC"/>
  </w:style>
  <w:style w:type="paragraph" w:styleId="Footer">
    <w:name w:val="footer"/>
    <w:basedOn w:val="Normal"/>
    <w:link w:val="FooterChar"/>
    <w:uiPriority w:val="99"/>
    <w:unhideWhenUsed/>
    <w:rsid w:val="00E26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BC"/>
  </w:style>
  <w:style w:type="character" w:styleId="Hyperlink">
    <w:name w:val="Hyperlink"/>
    <w:uiPriority w:val="99"/>
    <w:semiHidden/>
    <w:unhideWhenUsed/>
    <w:rsid w:val="00E268BC"/>
    <w:rPr>
      <w:color w:val="0563C1"/>
      <w:u w:val="single"/>
    </w:rPr>
  </w:style>
  <w:style w:type="paragraph" w:styleId="Subtitle">
    <w:name w:val="Subtitle"/>
    <w:basedOn w:val="Normal"/>
    <w:next w:val="Normal"/>
    <w:link w:val="SubtitleChar"/>
    <w:uiPriority w:val="11"/>
    <w:qFormat/>
    <w:rsid w:val="000A53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A534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C71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package" Target="embeddings/Microsoft_Word_Document.docx"/><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05EB43372E243B3DAA37FCA101147" ma:contentTypeVersion="22" ma:contentTypeDescription="Create a new document." ma:contentTypeScope="" ma:versionID="cb61398b69a217c3d47312d3cbef0829">
  <xsd:schema xmlns:xsd="http://www.w3.org/2001/XMLSchema" xmlns:xs="http://www.w3.org/2001/XMLSchema" xmlns:p="http://schemas.microsoft.com/office/2006/metadata/properties" xmlns:ns2="0974ac4d-b6b0-4073-b19a-67366b3b0f60" xmlns:ns3="1a995e45-4c01-4c21-86ca-f045b733266f" xmlns:ns4="bde0e23b-8d43-454e-9b5e-8226f20a24ae" targetNamespace="http://schemas.microsoft.com/office/2006/metadata/properties" ma:root="true" ma:fieldsID="8c3b2029bb745d2ce66bbba59fa25058" ns2:_="" ns3:_="" ns4:_="">
    <xsd:import namespace="0974ac4d-b6b0-4073-b19a-67366b3b0f60"/>
    <xsd:import namespace="1a995e45-4c01-4c21-86ca-f045b733266f"/>
    <xsd:import namespace="bde0e23b-8d43-454e-9b5e-8226f20a24ae"/>
    <xsd:element name="properties">
      <xsd:complexType>
        <xsd:sequence>
          <xsd:element name="documentManagement">
            <xsd:complexType>
              <xsd:all>
                <xsd:element ref="ns2:gc6ea7f06dd9455d9ab3d40ce7770074" minOccurs="0"/>
                <xsd:element ref="ns2:TaxCatchAll" minOccurs="0"/>
                <xsd:element ref="ns2:TaxCatchAllLabel" minOccurs="0"/>
                <xsd:element ref="ns2:h9ed0b184b3d4d46b9232313a139da48"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LengthInSeconds" minOccurs="0"/>
                <xsd:element ref="ns3:MediaServiceLocation" minOccurs="0"/>
                <xsd:element ref="ns3:lcf76f155ced4ddcb4097134ff3c332f" minOccurs="0"/>
                <xsd:element ref="ns3:Dates" minOccurs="0"/>
                <xsd:element ref="ns3:Dates_x003a_Created" minOccurs="0"/>
                <xsd:element ref="ns3:Dates_x003a_Modifi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ac4d-b6b0-4073-b19a-67366b3b0f60" elementFormDefault="qualified">
    <xsd:import namespace="http://schemas.microsoft.com/office/2006/documentManagement/types"/>
    <xsd:import namespace="http://schemas.microsoft.com/office/infopath/2007/PartnerControls"/>
    <xsd:element name="gc6ea7f06dd9455d9ab3d40ce7770074" ma:index="8" nillable="true" ma:displayName="Document Category_0" ma:hidden="true" ma:internalName="gc6ea7f06dd9455d9ab3d40ce7770074">
      <xsd:simpleType>
        <xsd:restriction base="dms:Note"/>
      </xsd:simpleType>
    </xsd:element>
    <xsd:element name="TaxCatchAll" ma:index="9" nillable="true" ma:displayName="Taxonomy Catch All Column" ma:hidden="true" ma:list="{0b5c5bc2-dddc-471b-811b-02d9ea6b968d}" ma:internalName="TaxCatchAll" ma:showField="CatchAllData" ma:web="bde0e23b-8d43-454e-9b5e-8226f20a24a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5c5bc2-dddc-471b-811b-02d9ea6b968d}" ma:internalName="TaxCatchAllLabel" ma:readOnly="true" ma:showField="CatchAllDataLabel" ma:web="bde0e23b-8d43-454e-9b5e-8226f20a24ae">
      <xsd:complexType>
        <xsd:complexContent>
          <xsd:extension base="dms:MultiChoiceLookup">
            <xsd:sequence>
              <xsd:element name="Value" type="dms:Lookup" maxOccurs="unbounded" minOccurs="0" nillable="true"/>
            </xsd:sequence>
          </xsd:extension>
        </xsd:complexContent>
      </xsd:complexType>
    </xsd:element>
    <xsd:element name="h9ed0b184b3d4d46b9232313a139da48" ma:index="11" nillable="true" ma:displayName="City Department_0" ma:hidden="true" ma:internalName="h9ed0b184b3d4d46b9232313a139da48">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5e45-4c01-4c21-86ca-f045b733266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40c435-9b9d-470a-83dd-5aa7bdc8fee2" ma:termSetId="09814cd3-568e-fe90-9814-8d621ff8fb84" ma:anchorId="fba54fb3-c3e1-fe81-a776-ca4b69148c4d" ma:open="true" ma:isKeyword="false">
      <xsd:complexType>
        <xsd:sequence>
          <xsd:element ref="pc:Terms" minOccurs="0" maxOccurs="1"/>
        </xsd:sequence>
      </xsd:complexType>
    </xsd:element>
    <xsd:element name="Dates" ma:index="25" nillable="true" ma:displayName="Dates" ma:list="{1a995e45-4c01-4c21-86ca-f045b733266f}" ma:internalName="Dates" ma:showField="Created">
      <xsd:simpleType>
        <xsd:restriction base="dms:Lookup"/>
      </xsd:simpleType>
    </xsd:element>
    <xsd:element name="Dates_x003a_Created" ma:index="26" nillable="true" ma:displayName="Dates:Created" ma:list="{1a995e45-4c01-4c21-86ca-f045b733266f}" ma:internalName="Dates_x003a_Created" ma:readOnly="true" ma:showField="Created" ma:web="bde0e23b-8d43-454e-9b5e-8226f20a24ae">
      <xsd:simpleType>
        <xsd:restriction base="dms:Lookup"/>
      </xsd:simpleType>
    </xsd:element>
    <xsd:element name="Dates_x003a_Modified" ma:index="27" nillable="true" ma:displayName="Dates:Modified" ma:list="{1a995e45-4c01-4c21-86ca-f045b733266f}" ma:internalName="Dates_x003a_Modified" ma:readOnly="true" ma:showField="Modified" ma:web="bde0e23b-8d43-454e-9b5e-8226f20a24ae">
      <xsd:simpleType>
        <xsd:restriction base="dms:Lookup"/>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0e23b-8d43-454e-9b5e-8226f20a24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74ac4d-b6b0-4073-b19a-67366b3b0f60" xsi:nil="true"/>
    <gc6ea7f06dd9455d9ab3d40ce7770074 xmlns="0974ac4d-b6b0-4073-b19a-67366b3b0f60" xsi:nil="true"/>
    <h9ed0b184b3d4d46b9232313a139da48 xmlns="0974ac4d-b6b0-4073-b19a-67366b3b0f60" xsi:nil="true"/>
    <lcf76f155ced4ddcb4097134ff3c332f xmlns="1a995e45-4c01-4c21-86ca-f045b733266f">
      <Terms xmlns="http://schemas.microsoft.com/office/infopath/2007/PartnerControls"/>
    </lcf76f155ced4ddcb4097134ff3c332f>
    <Dates xmlns="1a995e45-4c01-4c21-86ca-f045b733266f" xsi:nil="true"/>
  </documentManagement>
</p:properties>
</file>

<file path=customXml/itemProps1.xml><?xml version="1.0" encoding="utf-8"?>
<ds:datastoreItem xmlns:ds="http://schemas.openxmlformats.org/officeDocument/2006/customXml" ds:itemID="{1584AD7A-DF2F-43D5-9A5E-FCCADB418397}">
  <ds:schemaRefs>
    <ds:schemaRef ds:uri="http://schemas.microsoft.com/sharepoint/v3/contenttype/forms"/>
  </ds:schemaRefs>
</ds:datastoreItem>
</file>

<file path=customXml/itemProps2.xml><?xml version="1.0" encoding="utf-8"?>
<ds:datastoreItem xmlns:ds="http://schemas.openxmlformats.org/officeDocument/2006/customXml" ds:itemID="{B4EAC0A0-4648-452D-9B0C-7790B652E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4ac4d-b6b0-4073-b19a-67366b3b0f60"/>
    <ds:schemaRef ds:uri="1a995e45-4c01-4c21-86ca-f045b733266f"/>
    <ds:schemaRef ds:uri="bde0e23b-8d43-454e-9b5e-8226f20a2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6B23D-91F0-4DEE-84C4-9F578D6D120C}">
  <ds:schemaRefs>
    <ds:schemaRef ds:uri="http://schemas.microsoft.com/office/2006/metadata/properties"/>
    <ds:schemaRef ds:uri="http://schemas.microsoft.com/office/infopath/2007/PartnerControls"/>
    <ds:schemaRef ds:uri="0974ac4d-b6b0-4073-b19a-67366b3b0f60"/>
    <ds:schemaRef ds:uri="1a995e45-4c01-4c21-86ca-f045b73326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Savannah</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Salimary Ravelo</dc:creator>
  <cp:keywords/>
  <dc:description/>
  <cp:lastModifiedBy>Michelle Drummond</cp:lastModifiedBy>
  <cp:revision>2</cp:revision>
  <cp:lastPrinted>2019-11-05T18:57:00Z</cp:lastPrinted>
  <dcterms:created xsi:type="dcterms:W3CDTF">2025-08-27T15:16:00Z</dcterms:created>
  <dcterms:modified xsi:type="dcterms:W3CDTF">2025-08-27T15:16:00Z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0x0101008CD05EB43372E243B3DAA37FCA101147</vt:lpwstr>
  </property>
  <property fmtid="{D5CDD505-2E9C-101B-9397-08002B2CF9AE}" pid="3" name="Order">
    <vt:r8>1527600</vt:r8>
  </property>
  <property fmtid="{D5CDD505-2E9C-101B-9397-08002B2CF9AE}" pid="4" name="City Department">
    <vt:lpwstr/>
  </property>
  <property fmtid="{D5CDD505-2E9C-101B-9397-08002B2CF9AE}" pid="5" name="Document Category">
    <vt:lpwstr/>
  </property>
</Properties>
</file>